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82"/>
      </w:tblGrid>
      <w:tr>
        <w:tc>
          <w:tcPr>
            <w:tcW w:type="dxa" w:w="10282"/>
            <w:vAlign w:val="center"/>
            <w:tcMar>
              <w:top w:w="0" w:type="dxa"/>
              <w:start w:w="0" w:type="dxa"/>
              <w:bottom w:w="45" w:type="dxa"/>
              <w:end w:w="0" w:type="dxa"/>
            </w:tcMar>
            <w:tcBorders>
              <w:top w:val="nil"/>
              <w:left w:val="nil"/>
              <w:right w:val="nil"/>
              <w:insideH w:val="nil"/>
              <w:insideV w:val="nil"/>
              <w:bottom w:val="single" w:sz="12" w:color="01A982"/>
            </w:tcBorders>
          </w:tcPr>
          <w:p>
            <w:pPr>
              <w:spacing w:after="0"/>
              <w:jc w:val="left"/>
            </w:pPr>
            <w:r>
              <w:rPr>
                <w:rFonts w:ascii="Arial" w:hAnsi="Arial"/>
                <w:b/>
                <w:color w:val="181818"/>
                <w:sz w:val="46"/>
              </w:rPr>
              <w:t>Chad Koslovsky</w:t>
            </w:r>
          </w:p>
          <w:p>
            <w:pPr>
              <w:spacing w:before="10" w:after="0"/>
            </w:pPr>
            <w:r>
              <w:rPr>
                <w:rFonts w:ascii="Arial" w:hAnsi="Arial"/>
                <w:color w:val="5A5A5A"/>
                <w:sz w:val="22"/>
              </w:rPr>
              <w:t>Senior Systems, Software &amp; AI Engineering Lead</w:t>
            </w:r>
          </w:p>
          <w:p>
            <w:pPr>
              <w:spacing w:before="20" w:after="0"/>
            </w:pPr>
            <w:r>
              <w:rPr>
                <w:rFonts w:ascii="Arial" w:hAnsi="Arial"/>
                <w:color w:val="5A5A5A"/>
                <w:sz w:val="17"/>
              </w:rPr>
              <w:t xml:space="preserve">Loveland, CO 80538  |  (303) 999-8003  |  chad@koslovsky.xyz  |  </w:t>
            </w:r>
            <w:hyperlink r:id="rId12">
              <w:r>
                <w:rPr>
                  <w:rFonts w:ascii="Arial" w:hAnsi="Arial"/>
                  <w:color w:val="147896"/>
                  <w:sz w:val="18"/>
                  <w:u w:val="none"/>
                </w:rPr>
                <w:t>LinkedIn</w:t>
              </w:r>
            </w:hyperlink>
            <w:r>
              <w:rPr>
                <w:rFonts w:ascii="Arial" w:hAnsi="Arial"/>
                <w:color w:val="5A5A5A"/>
                <w:sz w:val="17"/>
              </w:rPr>
              <w:t xml:space="preserve">  |  </w:t>
            </w:r>
            <w:hyperlink r:id="rId9">
              <w:r>
                <w:rPr>
                  <w:rFonts w:ascii="Arial" w:hAnsi="Arial"/>
                  <w:color w:val="147896"/>
                  <w:sz w:val="18"/>
                  <w:u w:val="none"/>
                </w:rPr>
                <w:t>HPE application site</w:t>
              </w:r>
            </w:hyperlink>
          </w:p>
        </w:tc>
      </w:tr>
    </w:tbl>
    <w:p>
      <w:pPr>
        <w:keepNext/>
        <w:spacing w:before="84" w:after="30"/>
      </w:pPr>
      <w:r>
        <w:rPr>
          <w:rFonts w:ascii="Arial" w:hAnsi="Arial"/>
          <w:b/>
          <w:color w:val="147896"/>
          <w:sz w:val="22"/>
        </w:rPr>
        <w:t>SUMMARY</w:t>
      </w:r>
    </w:p>
    <w:p>
      <w:pPr>
        <w:keepNext w:val="0"/>
        <w:spacing w:after="30"/>
      </w:pPr>
      <w:r>
        <w:rPr>
          <w:rFonts w:ascii="Arial" w:hAnsi="Arial"/>
          <w:color w:val="181818"/>
          <w:sz w:val="18"/>
        </w:rPr>
        <w:t>Senior systems and software engineer with 15+ years building and running infrastructure, cloud platforms, and customer-facing software. Led a 30,000-square-foot commercial datacenter and NOC in Fort Collins, owned annual SOC audit readiness and highest-severity escalations, and now builds AI-enabled products and automation for clients. Strongest where production operations, technical leadership, and usable software have to work together.</w:t>
      </w:r>
    </w:p>
    <w:p>
      <w:pPr>
        <w:keepNext/>
        <w:spacing w:before="80" w:after="30"/>
      </w:pPr>
      <w:r>
        <w:rPr>
          <w:rFonts w:ascii="Arial" w:hAnsi="Arial"/>
          <w:b/>
          <w:color w:val="147896"/>
          <w:sz w:val="22"/>
        </w:rPr>
        <w:t>CORE CAPABILITIES</w:t>
      </w:r>
    </w:p>
    <w:p>
      <w:pPr>
        <w:spacing w:after="28"/>
      </w:pPr>
      <w:r>
        <w:rPr>
          <w:rFonts w:ascii="Arial" w:hAnsi="Arial"/>
          <w:b/>
          <w:color w:val="181818"/>
          <w:sz w:val="18"/>
        </w:rPr>
        <w:t xml:space="preserve">Enterprise systems: </w:t>
      </w:r>
      <w:r>
        <w:rPr>
          <w:rFonts w:ascii="Arial" w:hAnsi="Arial"/>
          <w:color w:val="181818"/>
          <w:sz w:val="18"/>
        </w:rPr>
        <w:t>Linux and Windows, datacenter operations, NOC leadership, incident response, RCA, monitoring, virtualization, networking, disaster recovery, backup verification, SOC 1 / SOC 2 under SSAE 18</w:t>
      </w:r>
    </w:p>
    <w:p>
      <w:pPr>
        <w:spacing w:after="28"/>
      </w:pPr>
      <w:r>
        <w:rPr>
          <w:rFonts w:ascii="Arial" w:hAnsi="Arial"/>
          <w:b/>
          <w:color w:val="181818"/>
          <w:sz w:val="18"/>
        </w:rPr>
        <w:t xml:space="preserve">Cloud and platform: </w:t>
      </w:r>
      <w:r>
        <w:rPr>
          <w:rFonts w:ascii="Arial" w:hAnsi="Arial"/>
          <w:color w:val="181818"/>
          <w:sz w:val="18"/>
        </w:rPr>
        <w:t>AWS, Kubernetes, Docker, Terraform, Ansible, CI/CD, GitHub Actions, PostgreSQL, Redis, capacity planning, migrations, observability</w:t>
      </w:r>
    </w:p>
    <w:p>
      <w:pPr>
        <w:spacing w:after="28"/>
      </w:pPr>
      <w:r>
        <w:rPr>
          <w:rFonts w:ascii="Arial" w:hAnsi="Arial"/>
          <w:b/>
          <w:color w:val="181818"/>
          <w:sz w:val="18"/>
        </w:rPr>
        <w:t xml:space="preserve">Software and AI: </w:t>
      </w:r>
      <w:r>
        <w:rPr>
          <w:rFonts w:ascii="Arial" w:hAnsi="Arial"/>
          <w:color w:val="181818"/>
          <w:sz w:val="18"/>
        </w:rPr>
        <w:t>TypeScript, React, Next.js, Node.js, Python, Rust, C#, Perl, Bash, PowerShell; retrieval, embeddings, structured outputs, agents, tool orchestration, evaluation harnesses, human review</w:t>
      </w:r>
    </w:p>
    <w:p>
      <w:pPr>
        <w:spacing w:after="28"/>
      </w:pPr>
      <w:r>
        <w:rPr>
          <w:rFonts w:ascii="Arial" w:hAnsi="Arial"/>
          <w:b/>
          <w:color w:val="181818"/>
          <w:sz w:val="18"/>
        </w:rPr>
        <w:t xml:space="preserve">Leadership and product: </w:t>
      </w:r>
      <w:r>
        <w:rPr>
          <w:rFonts w:ascii="Arial" w:hAnsi="Arial"/>
          <w:color w:val="181818"/>
          <w:sz w:val="18"/>
        </w:rPr>
        <w:t>Architecture, technical roadmaps, customer discovery, severe escalations, mentoring, documentation, accessibility, design systems, infrastructure UX</w:t>
      </w:r>
    </w:p>
    <w:p>
      <w:pPr>
        <w:keepNext/>
        <w:spacing w:before="84" w:after="30"/>
      </w:pPr>
      <w:r>
        <w:rPr>
          <w:rFonts w:ascii="Arial" w:hAnsi="Arial"/>
          <w:b/>
          <w:color w:val="147896"/>
          <w:sz w:val="22"/>
        </w:rPr>
        <w:t>PROFESSIONAL EXPERIENCE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784"/>
        <w:gridCol w:w="1483"/>
      </w:tblGrid>
      <w:tr>
        <w:tc>
          <w:tcPr>
            <w:tcW w:type="dxa" w:w="8784"/>
            <w:tcMar>
              <w:top w:w="0" w:type="dxa"/>
              <w:start w:w="0" w:type="dxa"/>
              <w:bottom w:w="0" w:type="dxa"/>
              <w:end w:w="25" w:type="dxa"/>
            </w:tcMar>
            <w:tcBorders>
              <w:top w:val="nil"/>
              <w:left w:val="nil"/>
              <w:right w:val="nil"/>
              <w:insideH w:val="nil"/>
              <w:insideV w:val="nil"/>
              <w:bottom w:val="nil"/>
            </w:tcBorders>
          </w:tcPr>
          <w:p>
            <w:pPr>
              <w:keepNext/>
              <w:spacing w:before="56" w:after="8"/>
            </w:pPr>
            <w:r>
              <w:rPr>
                <w:rFonts w:ascii="Arial" w:hAnsi="Arial"/>
                <w:b/>
                <w:color w:val="181818"/>
                <w:sz w:val="19"/>
              </w:rPr>
              <w:t>Technomancy IT LLC — Founder / Product &amp; Systems Engineer</w:t>
            </w:r>
            <w:r>
              <w:rPr>
                <w:rFonts w:ascii="Arial" w:hAnsi="Arial"/>
                <w:color w:val="5A5A5A"/>
                <w:sz w:val="17"/>
              </w:rPr>
              <w:t xml:space="preserve">  |  Loveland, CO</w:t>
            </w:r>
          </w:p>
        </w:tc>
        <w:tc>
          <w:tcPr>
            <w:tcW w:type="dxa" w:w="1483"/>
            <w:tcMar>
              <w:top w:w="0" w:type="dxa"/>
              <w:start w:w="25" w:type="dxa"/>
              <w:bottom w:w="0" w:type="dxa"/>
              <w:end w:w="0" w:type="dxa"/>
            </w:tcMar>
            <w:tcBorders>
              <w:top w:val="nil"/>
              <w:left w:val="nil"/>
              <w:right w:val="nil"/>
              <w:insideH w:val="nil"/>
              <w:insideV w:val="nil"/>
              <w:bottom w:val="nil"/>
            </w:tcBorders>
          </w:tcPr>
          <w:p>
            <w:pPr>
              <w:keepNext/>
              <w:spacing w:before="56" w:after="8"/>
              <w:jc w:val="right"/>
            </w:pPr>
            <w:r>
              <w:rPr>
                <w:rFonts w:ascii="Arial" w:hAnsi="Arial"/>
                <w:color w:val="5A5A5A"/>
                <w:sz w:val="17"/>
              </w:rPr>
              <w:t>2021–Present</w:t>
            </w:r>
          </w:p>
        </w:tc>
      </w:tr>
    </w:tbl>
    <w:p>
      <w:pPr>
        <w:pStyle w:val="ListBullet"/>
        <w:keepLines/>
      </w:pPr>
      <w:r>
        <w:rPr>
          <w:rFonts w:ascii="Arial" w:hAnsi="Arial"/>
          <w:color w:val="181818"/>
          <w:sz w:val="18"/>
        </w:rPr>
        <w:t>Runs a Top Rated / top-10% independent engineering practice through Upwork, referrals, and long-term client relationships; typically serves as the only engineer or technical lead from discovery and architecture through launch, support, and recovery.</w:t>
      </w:r>
    </w:p>
    <w:p>
      <w:pPr>
        <w:pStyle w:val="ListBullet"/>
        <w:keepLines/>
      </w:pPr>
      <w:r>
        <w:rPr>
          <w:rFonts w:ascii="Arial" w:hAnsi="Arial"/>
          <w:color w:val="181818"/>
          <w:sz w:val="18"/>
        </w:rPr>
        <w:t>Builds AI-assisted products and engineering workflows using retrieval, embeddings, structured outputs, classification, natural-language interfaces, agents and tool orchestration, evaluation harnesses, and explicit human review.</w:t>
      </w:r>
    </w:p>
    <w:p>
      <w:pPr>
        <w:pStyle w:val="ListBullet"/>
        <w:keepLines/>
      </w:pPr>
      <w:r>
        <w:rPr>
          <w:rFonts w:ascii="Arial" w:hAnsi="Arial"/>
          <w:color w:val="181818"/>
          <w:sz w:val="18"/>
        </w:rPr>
        <w:t>Designs and operates full-stack systems with React, Next.js, TypeScript, Node.js, Python, Rust, C#, PostgreSQL, Redis, Docker, Kubernetes, AWS, CI/CD, security controls, and production observability.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784"/>
        <w:gridCol w:w="1483"/>
      </w:tblGrid>
      <w:tr>
        <w:tc>
          <w:tcPr>
            <w:tcW w:type="dxa" w:w="8784"/>
            <w:tcMar>
              <w:top w:w="0" w:type="dxa"/>
              <w:start w:w="0" w:type="dxa"/>
              <w:bottom w:w="0" w:type="dxa"/>
              <w:end w:w="25" w:type="dxa"/>
            </w:tcMar>
            <w:tcBorders>
              <w:top w:val="nil"/>
              <w:left w:val="nil"/>
              <w:right w:val="nil"/>
              <w:insideH w:val="nil"/>
              <w:insideV w:val="nil"/>
              <w:bottom w:val="nil"/>
            </w:tcBorders>
          </w:tcPr>
          <w:p>
            <w:pPr>
              <w:keepNext/>
              <w:spacing w:before="56" w:after="8"/>
            </w:pPr>
            <w:r>
              <w:rPr>
                <w:rFonts w:ascii="Arial" w:hAnsi="Arial"/>
                <w:b/>
                <w:color w:val="181818"/>
                <w:sz w:val="19"/>
              </w:rPr>
              <w:t>Independent Systems Consultant — Wray / Excell Services</w:t>
            </w:r>
            <w:r>
              <w:rPr>
                <w:rFonts w:ascii="Arial" w:hAnsi="Arial"/>
                <w:color w:val="5A5A5A"/>
                <w:sz w:val="17"/>
              </w:rPr>
              <w:t xml:space="preserve">  |  Wray, CO</w:t>
            </w:r>
          </w:p>
        </w:tc>
        <w:tc>
          <w:tcPr>
            <w:tcW w:type="dxa" w:w="1483"/>
            <w:tcMar>
              <w:top w:w="0" w:type="dxa"/>
              <w:start w:w="25" w:type="dxa"/>
              <w:bottom w:w="0" w:type="dxa"/>
              <w:end w:w="0" w:type="dxa"/>
            </w:tcMar>
            <w:tcBorders>
              <w:top w:val="nil"/>
              <w:left w:val="nil"/>
              <w:right w:val="nil"/>
              <w:insideH w:val="nil"/>
              <w:insideV w:val="nil"/>
              <w:bottom w:val="nil"/>
            </w:tcBorders>
          </w:tcPr>
          <w:p>
            <w:pPr>
              <w:keepNext/>
              <w:spacing w:before="56" w:after="8"/>
              <w:jc w:val="right"/>
            </w:pPr>
            <w:r>
              <w:rPr>
                <w:rFonts w:ascii="Arial" w:hAnsi="Arial"/>
                <w:color w:val="5A5A5A"/>
                <w:sz w:val="17"/>
              </w:rPr>
              <w:t>2019–2021</w:t>
            </w:r>
          </w:p>
        </w:tc>
      </w:tr>
    </w:tbl>
    <w:p>
      <w:pPr>
        <w:pStyle w:val="ListBullet"/>
        <w:keepLines/>
      </w:pPr>
      <w:r>
        <w:rPr>
          <w:rFonts w:ascii="Arial" w:hAnsi="Arial"/>
          <w:color w:val="181818"/>
          <w:sz w:val="18"/>
        </w:rPr>
        <w:t>Moved to Wray after fiber reached the community and spent three years helping rural businesses and residents adopt modern networks, computers, cloud tools, reliable backups, and practical technical support.</w:t>
      </w:r>
    </w:p>
    <w:p>
      <w:pPr>
        <w:pStyle w:val="ListBullet"/>
        <w:keepLines/>
      </w:pPr>
      <w:r>
        <w:rPr>
          <w:rFonts w:ascii="Arial" w:hAnsi="Arial"/>
          <w:color w:val="181818"/>
          <w:sz w:val="18"/>
        </w:rPr>
        <w:t>Served as the complete IT function for Excell Services and roughly 30 employees: rebuilt on-site servers, negotiated and connected fiber service that saved thousands, established multi-site backup and recovery, improved wireless links, and migrated operations without disrupting the business.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784"/>
        <w:gridCol w:w="1483"/>
      </w:tblGrid>
      <w:tr>
        <w:tc>
          <w:tcPr>
            <w:tcW w:type="dxa" w:w="8784"/>
            <w:tcMar>
              <w:top w:w="0" w:type="dxa"/>
              <w:start w:w="0" w:type="dxa"/>
              <w:bottom w:w="0" w:type="dxa"/>
              <w:end w:w="25" w:type="dxa"/>
            </w:tcMar>
            <w:tcBorders>
              <w:top w:val="nil"/>
              <w:left w:val="nil"/>
              <w:right w:val="nil"/>
              <w:insideH w:val="nil"/>
              <w:insideV w:val="nil"/>
              <w:bottom w:val="nil"/>
            </w:tcBorders>
          </w:tcPr>
          <w:p>
            <w:pPr>
              <w:keepNext/>
              <w:spacing w:before="56" w:after="8"/>
            </w:pPr>
            <w:r>
              <w:rPr>
                <w:rFonts w:ascii="Arial" w:hAnsi="Arial"/>
                <w:b/>
                <w:color w:val="181818"/>
                <w:sz w:val="19"/>
              </w:rPr>
              <w:t>Front Range Internet — Senior Systems Engineer / Datacenter Architect</w:t>
            </w:r>
            <w:r>
              <w:rPr>
                <w:rFonts w:ascii="Arial" w:hAnsi="Arial"/>
                <w:color w:val="5A5A5A"/>
                <w:sz w:val="17"/>
              </w:rPr>
              <w:t xml:space="preserve">  |  Fort Collins, CO</w:t>
            </w:r>
          </w:p>
        </w:tc>
        <w:tc>
          <w:tcPr>
            <w:tcW w:type="dxa" w:w="1483"/>
            <w:tcMar>
              <w:top w:w="0" w:type="dxa"/>
              <w:start w:w="25" w:type="dxa"/>
              <w:bottom w:w="0" w:type="dxa"/>
              <w:end w:w="0" w:type="dxa"/>
            </w:tcMar>
            <w:tcBorders>
              <w:top w:val="nil"/>
              <w:left w:val="nil"/>
              <w:right w:val="nil"/>
              <w:insideH w:val="nil"/>
              <w:insideV w:val="nil"/>
              <w:bottom w:val="nil"/>
            </w:tcBorders>
          </w:tcPr>
          <w:p>
            <w:pPr>
              <w:keepNext/>
              <w:spacing w:before="56" w:after="8"/>
              <w:jc w:val="right"/>
            </w:pPr>
            <w:r>
              <w:rPr>
                <w:rFonts w:ascii="Arial" w:hAnsi="Arial"/>
                <w:color w:val="5A5A5A"/>
                <w:sz w:val="17"/>
              </w:rPr>
              <w:t>2015–2019</w:t>
            </w:r>
          </w:p>
        </w:tc>
      </w:tr>
    </w:tbl>
    <w:p>
      <w:pPr>
        <w:pStyle w:val="ListBullet"/>
        <w:keepLines/>
      </w:pPr>
      <w:r>
        <w:rPr>
          <w:rFonts w:ascii="Arial" w:hAnsi="Arial"/>
          <w:color w:val="181818"/>
          <w:sz w:val="18"/>
        </w:rPr>
        <w:t>Led infrastructure architecture and day-to-day reliability for a 30,000-square-foot commercial datacenter in Fort Collins spanning compute, storage, virtualization, networking, colocation, cloud, and managed services.</w:t>
      </w:r>
    </w:p>
    <w:p>
      <w:pPr>
        <w:pStyle w:val="ListBullet"/>
        <w:keepLines/>
      </w:pPr>
      <w:r>
        <w:rPr>
          <w:rFonts w:ascii="Arial" w:hAnsi="Arial"/>
          <w:color w:val="181818"/>
          <w:sz w:val="18"/>
        </w:rPr>
        <w:t>Led the NOC and served as primary on-call engineer for escalations; directed incident response, diagnosis, customer communication, recovery, post-incident work, capacity planning, and complex production migrations.</w:t>
      </w:r>
    </w:p>
    <w:p>
      <w:pPr>
        <w:pStyle w:val="ListBullet"/>
        <w:keepLines/>
      </w:pPr>
      <w:r>
        <w:rPr>
          <w:rFonts w:ascii="Arial" w:hAnsi="Arial"/>
          <w:color w:val="181818"/>
          <w:sz w:val="18"/>
        </w:rPr>
        <w:t>Owned technical readiness and remediation for annual SOC 1 and SOC 2 audits under SSAE 18, working directly with auditors and producing access-control, failover, backup, disaster-recovery, monitoring, and operating-procedure evidence. Passed every year.</w:t>
      </w:r>
    </w:p>
    <w:p>
      <w:pPr>
        <w:pStyle w:val="ListBullet"/>
        <w:keepLines/>
      </w:pPr>
      <w:r>
        <w:rPr>
          <w:rFonts w:ascii="Arial" w:hAnsi="Arial"/>
          <w:color w:val="181818"/>
          <w:sz w:val="18"/>
        </w:rPr>
        <w:t>Modernized operations from Nagios to Zabbix, stabilized a distressed AWS database estate costing about $10K/month, and introduced Docker, Swarm/Kubernetes, Terraform, Ansible, and CI/CD practices for more repeatable delivery.</w:t>
      </w:r>
    </w:p>
    <w:p>
      <w:r>
        <w:br w:type="page"/>
      </w:r>
    </w:p>
    <w:p>
      <w:pPr>
        <w:keepNext/>
        <w:spacing w:before="0" w:after="30"/>
      </w:pPr>
      <w:r>
        <w:rPr>
          <w:rFonts w:ascii="Arial" w:hAnsi="Arial"/>
          <w:b/>
          <w:color w:val="147896"/>
          <w:sz w:val="22"/>
        </w:rPr>
        <w:t>EARLIER ENTERPRISE EXPERIENCE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784"/>
        <w:gridCol w:w="1483"/>
      </w:tblGrid>
      <w:tr>
        <w:tc>
          <w:tcPr>
            <w:tcW w:type="dxa" w:w="8784"/>
            <w:tcMar>
              <w:top w:w="0" w:type="dxa"/>
              <w:start w:w="0" w:type="dxa"/>
              <w:bottom w:w="0" w:type="dxa"/>
              <w:end w:w="25" w:type="dxa"/>
            </w:tcMar>
            <w:tcBorders>
              <w:top w:val="nil"/>
              <w:left w:val="nil"/>
              <w:right w:val="nil"/>
              <w:insideH w:val="nil"/>
              <w:insideV w:val="nil"/>
              <w:bottom w:val="nil"/>
            </w:tcBorders>
          </w:tcPr>
          <w:p>
            <w:pPr>
              <w:keepNext/>
              <w:spacing w:before="56" w:after="8"/>
            </w:pPr>
            <w:r>
              <w:rPr>
                <w:rFonts w:ascii="Arial" w:hAnsi="Arial"/>
                <w:b/>
                <w:color w:val="181818"/>
                <w:sz w:val="19"/>
              </w:rPr>
              <w:t>Office Evolution — Systems / Software Engineer</w:t>
            </w:r>
            <w:r>
              <w:rPr>
                <w:rFonts w:ascii="Arial" w:hAnsi="Arial"/>
                <w:color w:val="5A5A5A"/>
                <w:sz w:val="17"/>
              </w:rPr>
              <w:t xml:space="preserve">  |  Colorado</w:t>
            </w:r>
          </w:p>
        </w:tc>
        <w:tc>
          <w:tcPr>
            <w:tcW w:type="dxa" w:w="1483"/>
            <w:tcMar>
              <w:top w:w="0" w:type="dxa"/>
              <w:start w:w="25" w:type="dxa"/>
              <w:bottom w:w="0" w:type="dxa"/>
              <w:end w:w="0" w:type="dxa"/>
            </w:tcMar>
            <w:tcBorders>
              <w:top w:val="nil"/>
              <w:left w:val="nil"/>
              <w:right w:val="nil"/>
              <w:insideH w:val="nil"/>
              <w:insideV w:val="nil"/>
              <w:bottom w:val="nil"/>
            </w:tcBorders>
          </w:tcPr>
          <w:p>
            <w:pPr>
              <w:keepNext/>
              <w:spacing w:before="56" w:after="8"/>
              <w:jc w:val="right"/>
            </w:pPr>
            <w:r>
              <w:rPr>
                <w:rFonts w:ascii="Arial" w:hAnsi="Arial"/>
                <w:color w:val="5A5A5A"/>
                <w:sz w:val="17"/>
              </w:rPr>
              <w:t>2013–2014</w:t>
            </w:r>
          </w:p>
        </w:tc>
      </w:tr>
    </w:tbl>
    <w:p>
      <w:pPr>
        <w:pStyle w:val="ListBullet"/>
        <w:keepLines/>
      </w:pPr>
      <w:r>
        <w:rPr>
          <w:rFonts w:ascii="Arial" w:hAnsi="Arial"/>
          <w:color w:val="181818"/>
          <w:sz w:val="18"/>
        </w:rPr>
        <w:t>Built SQL and MongoDB applications connecting CRM, provisioning, onboarding, billing, and service operations while supporting a growing multi-location infrastructure estate.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784"/>
        <w:gridCol w:w="1483"/>
      </w:tblGrid>
      <w:tr>
        <w:tc>
          <w:tcPr>
            <w:tcW w:type="dxa" w:w="8784"/>
            <w:tcMar>
              <w:top w:w="0" w:type="dxa"/>
              <w:start w:w="0" w:type="dxa"/>
              <w:bottom w:w="0" w:type="dxa"/>
              <w:end w:w="25" w:type="dxa"/>
            </w:tcMar>
            <w:tcBorders>
              <w:top w:val="nil"/>
              <w:left w:val="nil"/>
              <w:right w:val="nil"/>
              <w:insideH w:val="nil"/>
              <w:insideV w:val="nil"/>
              <w:bottom w:val="nil"/>
            </w:tcBorders>
          </w:tcPr>
          <w:p>
            <w:pPr>
              <w:keepNext/>
              <w:spacing w:before="56" w:after="8"/>
            </w:pPr>
            <w:r>
              <w:rPr>
                <w:rFonts w:ascii="Arial" w:hAnsi="Arial"/>
                <w:b/>
                <w:color w:val="181818"/>
                <w:sz w:val="19"/>
              </w:rPr>
              <w:t>PlumChoice / Everon — Network Engineer</w:t>
            </w:r>
          </w:p>
        </w:tc>
        <w:tc>
          <w:tcPr>
            <w:tcW w:type="dxa" w:w="1483"/>
            <w:tcMar>
              <w:top w:w="0" w:type="dxa"/>
              <w:start w:w="25" w:type="dxa"/>
              <w:bottom w:w="0" w:type="dxa"/>
              <w:end w:w="0" w:type="dxa"/>
            </w:tcMar>
            <w:tcBorders>
              <w:top w:val="nil"/>
              <w:left w:val="nil"/>
              <w:right w:val="nil"/>
              <w:insideH w:val="nil"/>
              <w:insideV w:val="nil"/>
              <w:bottom w:val="nil"/>
            </w:tcBorders>
          </w:tcPr>
          <w:p>
            <w:pPr>
              <w:keepNext/>
              <w:spacing w:before="56" w:after="8"/>
              <w:jc w:val="right"/>
            </w:pPr>
            <w:r>
              <w:rPr>
                <w:rFonts w:ascii="Arial" w:hAnsi="Arial"/>
                <w:color w:val="5A5A5A"/>
                <w:sz w:val="17"/>
              </w:rPr>
              <w:t>2011–2013</w:t>
            </w:r>
          </w:p>
        </w:tc>
      </w:tr>
    </w:tbl>
    <w:p>
      <w:pPr>
        <w:pStyle w:val="ListBullet"/>
        <w:keepLines/>
      </w:pPr>
      <w:r>
        <w:rPr>
          <w:rFonts w:ascii="Arial" w:hAnsi="Arial"/>
          <w:color w:val="181818"/>
          <w:sz w:val="18"/>
        </w:rPr>
        <w:t>Operated managed SMB networks across monitoring, endpoint and server support, incident response, vendor coordination, security, backups, and customer-facing escalations.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784"/>
        <w:gridCol w:w="1483"/>
      </w:tblGrid>
      <w:tr>
        <w:tc>
          <w:tcPr>
            <w:tcW w:type="dxa" w:w="8784"/>
            <w:tcMar>
              <w:top w:w="0" w:type="dxa"/>
              <w:start w:w="0" w:type="dxa"/>
              <w:bottom w:w="0" w:type="dxa"/>
              <w:end w:w="25" w:type="dxa"/>
            </w:tcMar>
            <w:tcBorders>
              <w:top w:val="nil"/>
              <w:left w:val="nil"/>
              <w:right w:val="nil"/>
              <w:insideH w:val="nil"/>
              <w:insideV w:val="nil"/>
              <w:bottom w:val="nil"/>
            </w:tcBorders>
          </w:tcPr>
          <w:p>
            <w:pPr>
              <w:keepNext/>
              <w:spacing w:before="56" w:after="8"/>
            </w:pPr>
            <w:r>
              <w:rPr>
                <w:rFonts w:ascii="Arial" w:hAnsi="Arial"/>
                <w:b/>
                <w:color w:val="181818"/>
                <w:sz w:val="19"/>
              </w:rPr>
              <w:t>IBM — Infrastructure and Systems Focal</w:t>
            </w:r>
          </w:p>
        </w:tc>
        <w:tc>
          <w:tcPr>
            <w:tcW w:type="dxa" w:w="1483"/>
            <w:tcMar>
              <w:top w:w="0" w:type="dxa"/>
              <w:start w:w="25" w:type="dxa"/>
              <w:bottom w:w="0" w:type="dxa"/>
              <w:end w:w="0" w:type="dxa"/>
            </w:tcMar>
            <w:tcBorders>
              <w:top w:val="nil"/>
              <w:left w:val="nil"/>
              <w:right w:val="nil"/>
              <w:insideH w:val="nil"/>
              <w:insideV w:val="nil"/>
              <w:bottom w:val="nil"/>
            </w:tcBorders>
          </w:tcPr>
          <w:p>
            <w:pPr>
              <w:keepNext/>
              <w:spacing w:before="56" w:after="8"/>
              <w:jc w:val="right"/>
            </w:pPr>
            <w:r>
              <w:rPr>
                <w:rFonts w:ascii="Arial" w:hAnsi="Arial"/>
                <w:color w:val="5A5A5A"/>
                <w:sz w:val="17"/>
              </w:rPr>
              <w:t>2009–2011</w:t>
            </w:r>
          </w:p>
        </w:tc>
      </w:tr>
    </w:tbl>
    <w:p>
      <w:pPr>
        <w:pStyle w:val="ListBullet"/>
        <w:keepLines/>
      </w:pPr>
      <w:r>
        <w:rPr>
          <w:rFonts w:ascii="Arial" w:hAnsi="Arial"/>
          <w:color w:val="181818"/>
          <w:sz w:val="18"/>
        </w:rPr>
        <w:t>Infrastructure focal for shared enterprise environments serving millions of users, including Best Buy, Amtrak, and USPS work; coordinated incidents, escalations, virtualization, hosted desktops, backups, audit controls, and cross-team production change.</w:t>
      </w:r>
    </w:p>
    <w:p>
      <w:pPr>
        <w:pStyle w:val="ListBullet"/>
        <w:keepLines/>
      </w:pPr>
      <w:r>
        <w:rPr>
          <w:rFonts w:ascii="Arial" w:hAnsi="Arial"/>
          <w:color w:val="181818"/>
          <w:sz w:val="18"/>
        </w:rPr>
        <w:t>Automated recurring compliance, backup, and operational checks and translated problems between application teams, infrastructure specialists, service managers, and customers.</w:t>
      </w:r>
    </w:p>
    <w:p>
      <w:pPr>
        <w:keepNext/>
        <w:spacing w:before="104" w:after="30"/>
      </w:pPr>
      <w:r>
        <w:rPr>
          <w:rFonts w:ascii="Arial" w:hAnsi="Arial"/>
          <w:b/>
          <w:color w:val="147896"/>
          <w:sz w:val="22"/>
        </w:rPr>
        <w:t>SELECTED ENGINEERING WORK</w:t>
      </w:r>
    </w:p>
    <w:p>
      <w:pPr>
        <w:keepLines/>
        <w:spacing w:before="36" w:after="22"/>
      </w:pPr>
      <w:r>
        <w:rPr>
          <w:rFonts w:ascii="Arial" w:hAnsi="Arial"/>
          <w:b/>
          <w:color w:val="181818"/>
          <w:sz w:val="18"/>
        </w:rPr>
        <w:t xml:space="preserve">Technomancy.IT — </w:t>
      </w:r>
      <w:r>
        <w:rPr>
          <w:rFonts w:ascii="Arial" w:hAnsi="Arial"/>
          <w:color w:val="181818"/>
          <w:sz w:val="18"/>
        </w:rPr>
        <w:t>Built the client-facing operations platform for a small technical shop, bringing scheduling, forms, support, account workflows, infrastructure, and delivery into one coherent system.</w:t>
      </w:r>
    </w:p>
    <w:p>
      <w:pPr>
        <w:keepLines/>
        <w:spacing w:before="36" w:after="22"/>
      </w:pPr>
      <w:r>
        <w:rPr>
          <w:rFonts w:ascii="Arial" w:hAnsi="Arial"/>
          <w:b/>
          <w:color w:val="181818"/>
          <w:sz w:val="18"/>
        </w:rPr>
        <w:t xml:space="preserve">Velatis — </w:t>
      </w:r>
      <w:r>
        <w:rPr>
          <w:rFonts w:ascii="Arial" w:hAnsi="Arial"/>
          <w:color w:val="181818"/>
          <w:sz w:val="18"/>
        </w:rPr>
        <w:t>Developed product engineering and AI automation for a private research platform, including retrieval, structured workflows, evaluation, observability, and human-review boundaries.</w:t>
      </w:r>
    </w:p>
    <w:p>
      <w:pPr>
        <w:keepLines/>
        <w:spacing w:before="36" w:after="22"/>
      </w:pPr>
      <w:r>
        <w:rPr>
          <w:rFonts w:ascii="Arial" w:hAnsi="Arial"/>
          <w:b/>
          <w:color w:val="181818"/>
          <w:sz w:val="18"/>
        </w:rPr>
        <w:t xml:space="preserve">KTHX.fun / Ricoshot — </w:t>
      </w:r>
      <w:r>
        <w:rPr>
          <w:rFonts w:ascii="Arial" w:hAnsi="Arial"/>
          <w:color w:val="181818"/>
          <w:sz w:val="18"/>
        </w:rPr>
        <w:t>Designed and shipped a complete arcade product and C++20/WASM game, owning the browser product, runtime, infrastructure, deployment, recovery, and player-facing experience.</w:t>
      </w:r>
    </w:p>
    <w:p>
      <w:pPr>
        <w:keepLines/>
        <w:spacing w:before="36" w:after="22"/>
      </w:pPr>
      <w:r>
        <w:rPr>
          <w:rFonts w:ascii="Arial" w:hAnsi="Arial"/>
          <w:b/>
          <w:color w:val="181818"/>
          <w:sz w:val="18"/>
        </w:rPr>
        <w:t xml:space="preserve">Client and creator systems — </w:t>
      </w:r>
      <w:r>
        <w:rPr>
          <w:rFonts w:ascii="Arial" w:hAnsi="Arial"/>
          <w:color w:val="181818"/>
          <w:sz w:val="18"/>
        </w:rPr>
        <w:t>Built financial, technical, and launch services for small companies and creative projects, including work with DreamWorks Animation creative leadership and independent artists; owned contracts, integrations, security, production support, and durable recovery paths.</w:t>
      </w:r>
    </w:p>
    <w:p>
      <w:pPr>
        <w:keepNext/>
        <w:spacing w:before="104" w:after="30"/>
      </w:pPr>
      <w:r>
        <w:rPr>
          <w:rFonts w:ascii="Arial" w:hAnsi="Arial"/>
          <w:b/>
          <w:color w:val="147896"/>
          <w:sz w:val="22"/>
        </w:rPr>
        <w:t>WHAT I BRING TO HPE</w:t>
      </w:r>
    </w:p>
    <w:p>
      <w:pPr>
        <w:spacing w:after="28"/>
      </w:pPr>
      <w:r>
        <w:rPr>
          <w:rFonts w:ascii="Arial" w:hAnsi="Arial"/>
          <w:b/>
          <w:color w:val="181818"/>
          <w:sz w:val="18"/>
        </w:rPr>
        <w:t xml:space="preserve">Systems ownership: </w:t>
      </w:r>
      <w:r>
        <w:rPr>
          <w:rFonts w:ascii="Arial" w:hAnsi="Arial"/>
          <w:color w:val="181818"/>
          <w:sz w:val="18"/>
        </w:rPr>
        <w:t>Production responsibility across datacenter, enterprise, cloud, and client environments, including severe incidents, recovery, capacity, migrations, and customer communication.</w:t>
      </w:r>
    </w:p>
    <w:p>
      <w:pPr>
        <w:spacing w:after="28"/>
      </w:pPr>
      <w:r>
        <w:rPr>
          <w:rFonts w:ascii="Arial" w:hAnsi="Arial"/>
          <w:b/>
          <w:color w:val="181818"/>
          <w:sz w:val="18"/>
        </w:rPr>
        <w:t xml:space="preserve">Audited reliability: </w:t>
      </w:r>
      <w:r>
        <w:rPr>
          <w:rFonts w:ascii="Arial" w:hAnsi="Arial"/>
          <w:color w:val="181818"/>
          <w:sz w:val="18"/>
        </w:rPr>
        <w:t>Direct ownership of SOC 1 and SOC 2 technical readiness, control evidence, backup verification, disaster recovery, monitoring, procedures, and remediation.</w:t>
      </w:r>
    </w:p>
    <w:p>
      <w:pPr>
        <w:spacing w:after="28"/>
      </w:pPr>
      <w:r>
        <w:rPr>
          <w:rFonts w:ascii="Arial" w:hAnsi="Arial"/>
          <w:b/>
          <w:color w:val="181818"/>
          <w:sz w:val="18"/>
        </w:rPr>
        <w:t xml:space="preserve">Software for operators: </w:t>
      </w:r>
      <w:r>
        <w:rPr>
          <w:rFonts w:ascii="Arial" w:hAnsi="Arial"/>
          <w:color w:val="181818"/>
          <w:sz w:val="18"/>
        </w:rPr>
        <w:t>React and TypeScript products, Python and Rust services, design systems, dashboards, automation, and AI-assisted workflows built to make technical work clearer and safer.</w:t>
      </w:r>
    </w:p>
    <w:p>
      <w:pPr>
        <w:spacing w:after="28"/>
      </w:pPr>
      <w:r>
        <w:rPr>
          <w:rFonts w:ascii="Arial" w:hAnsi="Arial"/>
          <w:b/>
          <w:color w:val="181818"/>
          <w:sz w:val="18"/>
        </w:rPr>
        <w:t xml:space="preserve">Customer-close technical leadership: </w:t>
      </w:r>
      <w:r>
        <w:rPr>
          <w:rFonts w:ascii="Arial" w:hAnsi="Arial"/>
          <w:color w:val="181818"/>
          <w:sz w:val="18"/>
        </w:rPr>
        <w:t>Discovery, architecture, specifications, code review, testing, CI, documentation, escalation, root cause, and post-launch support without dropping responsibility between teams.</w:t>
      </w:r>
    </w:p>
    <w:p>
      <w:pPr>
        <w:keepNext/>
        <w:spacing w:before="90" w:after="30"/>
      </w:pPr>
      <w:r>
        <w:rPr>
          <w:rFonts w:ascii="Arial" w:hAnsi="Arial"/>
          <w:b/>
          <w:color w:val="147896"/>
          <w:sz w:val="22"/>
        </w:rPr>
        <w:t>PUBLIC LINKS</w:t>
      </w:r>
    </w:p>
    <w:p>
      <w:pPr>
        <w:spacing w:after="0"/>
      </w:pPr>
      <w:hyperlink r:id="rId9">
        <w:r>
          <w:rPr>
            <w:rFonts w:ascii="Arial" w:hAnsi="Arial"/>
            <w:color w:val="147896"/>
            <w:sz w:val="18"/>
            <w:b/>
            <w:u w:val="none"/>
          </w:rPr>
          <w:t>HPE application site</w:t>
        </w:r>
      </w:hyperlink>
      <w:r>
        <w:rPr>
          <w:rFonts w:ascii="Arial" w:hAnsi="Arial"/>
          <w:color w:val="5A5A5A"/>
          <w:sz w:val="17"/>
        </w:rPr>
        <w:t xml:space="preserve">  |  </w:t>
      </w:r>
      <w:hyperlink r:id="rId12">
        <w:r>
          <w:rPr>
            <w:rFonts w:ascii="Arial" w:hAnsi="Arial"/>
            <w:color w:val="147896"/>
            <w:sz w:val="18"/>
            <w:b/>
            <w:u w:val="none"/>
          </w:rPr>
          <w:t>LinkedIn</w:t>
        </w:r>
      </w:hyperlink>
      <w:r>
        <w:rPr>
          <w:rFonts w:ascii="Arial" w:hAnsi="Arial"/>
          <w:color w:val="5A5A5A"/>
          <w:sz w:val="17"/>
        </w:rPr>
        <w:t xml:space="preserve">  |  </w:t>
      </w:r>
      <w:hyperlink r:id="rId13">
        <w:r>
          <w:rPr>
            <w:rFonts w:ascii="Arial" w:hAnsi="Arial"/>
            <w:color w:val="147896"/>
            <w:sz w:val="18"/>
            <w:b/>
            <w:u w:val="none"/>
          </w:rPr>
          <w:t>GitHub</w:t>
        </w:r>
      </w:hyperlink>
      <w:r>
        <w:rPr>
          <w:rFonts w:ascii="Arial" w:hAnsi="Arial"/>
          <w:color w:val="5A5A5A"/>
          <w:sz w:val="17"/>
        </w:rPr>
        <w:t xml:space="preserve">  |  </w:t>
      </w:r>
      <w:hyperlink r:id="rId14">
        <w:r>
          <w:rPr>
            <w:rFonts w:ascii="Arial" w:hAnsi="Arial"/>
            <w:color w:val="147896"/>
            <w:sz w:val="18"/>
            <w:b/>
            <w:u w:val="none"/>
          </w:rPr>
          <w:t>Technomancy.IT</w:t>
        </w:r>
      </w:hyperlink>
    </w:p>
    <w:sectPr w:rsidR="00FC693F" w:rsidRPr="0006063C" w:rsidSect="00034616">
      <w:footerReference w:type="default" r:id="rId26"/>
      <w:pgSz w:w="12240" w:h="15840"/>
      <w:pgMar w:top="835" w:right="979" w:bottom="792" w:left="979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color w:val="5A5A5A"/>
        <w:sz w:val="15"/>
      </w:rPr>
      <w:t>Hewlett Packard Enterprise application  |  Chad Koslovsky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34" w:line="240" w:lineRule="auto"/>
    </w:pPr>
    <w:rPr>
      <w:rFonts w:ascii="Arial" w:hAnsi="Arial"/>
      <w:color w:val="18181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4" w:line="240" w:lineRule="auto"/>
      <w:ind w:left="288" w:hanging="202"/>
      <w:contextualSpacing/>
    </w:pPr>
    <w:rPr>
      <w:rFonts w:ascii="Arial" w:hAnsi="Arial"/>
      <w:color w:val="181818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10" Type="http://schemas.openxmlformats.org/officeDocument/2006/relationships/hyperlink" Target="https://chad.technomancy.it" TargetMode="External"/><Relationship Id="rId11" Type="http://schemas.openxmlformats.org/officeDocument/2006/relationships/hyperlink" Target="https://chad.technomancy.it/resume/chad-k-devops.pdf" TargetMode="External"/><Relationship Id="rId12" Type="http://schemas.openxmlformats.org/officeDocument/2006/relationships/hyperlink" Target="https://www.linkedin.com/in/chadkoslovsky" TargetMode="External"/><Relationship Id="rId13" Type="http://schemas.openxmlformats.org/officeDocument/2006/relationships/hyperlink" Target="https://github.com/Ravonus" TargetMode="External"/><Relationship Id="rId14" Type="http://schemas.openxmlformats.org/officeDocument/2006/relationships/hyperlink" Target="https://technomancy.it" TargetMode="External"/><Relationship Id="rId15" Type="http://schemas.openxmlformats.org/officeDocument/2006/relationships/hyperlink" Target="https://kthx.fun/" TargetMode="External"/><Relationship Id="rId16" Type="http://schemas.openxmlformats.org/officeDocument/2006/relationships/hyperlink" Target="https://velatis.io" TargetMode="External"/><Relationship Id="rId17" Type="http://schemas.openxmlformats.org/officeDocument/2006/relationships/hyperlink" Target="https://github.com/Ravonus/velatis-charts" TargetMode="External"/><Relationship Id="rId18" Type="http://schemas.openxmlformats.org/officeDocument/2006/relationships/hyperlink" Target="https://evocation.me" TargetMode="External"/><Relationship Id="rId19" Type="http://schemas.openxmlformats.org/officeDocument/2006/relationships/hyperlink" Target="https://github.com/Ravonus/proofmark" TargetMode="External"/><Relationship Id="rId20" Type="http://schemas.openxmlformats.org/officeDocument/2006/relationships/hyperlink" Target="https://github.com/Ravonus/foundation-share-bridge" TargetMode="External"/><Relationship Id="rId21" Type="http://schemas.openxmlformats.org/officeDocument/2006/relationships/hyperlink" Target="https://tokengators.com/" TargetMode="External"/><Relationship Id="rId22" Type="http://schemas.openxmlformats.org/officeDocument/2006/relationships/hyperlink" Target="https://etherscan.io/token/0xf1b33ac32dbc6617f7267a349be6ebb004feccff" TargetMode="External"/><Relationship Id="rId23" Type="http://schemas.openxmlformats.org/officeDocument/2006/relationships/hyperlink" Target="https://chad.koslovsky.xyz" TargetMode="External"/><Relationship Id="rId24" Type="http://schemas.openxmlformats.org/officeDocument/2006/relationships/hyperlink" Target="https://chad.koslovsky.xyz/resume/chad-k-devops.pdf" TargetMode="External"/><Relationship Id="rId25" Type="http://schemas.openxmlformats.org/officeDocument/2006/relationships/hyperlink" Target="https://chad.koslovsky.xyz/resume/chad-koslovsky-resume.pdf" TargetMode="External"/><Relationship Id="rId9" Type="http://schemas.openxmlformats.org/officeDocument/2006/relationships/hyperlink" Target="https://hpe.chad.koslovsky.xyz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Chad Koslovsky - Product Engineer</dc:title>
  <dc:subject>Product engineering, full-stack systems, operations software, and automation</dc:subject>
  <dc:creator>python-docx</dc:creator>
  <cp:keywords>product engineer, full stack, operations, automation, AI tools, TypeScript, Next.js, Node.js, PostgreSQL, infrastructure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